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97594E" w14:textId="77777777" w:rsidR="00C34D32" w:rsidRPr="00C34D32" w:rsidRDefault="00C34D32" w:rsidP="00C34D32">
      <w:pPr>
        <w:jc w:val="both"/>
        <w:rPr>
          <w:rFonts w:ascii="Verdana" w:hAnsi="Verdana"/>
          <w:lang w:val="en-US"/>
        </w:rPr>
      </w:pPr>
      <w:r w:rsidRPr="00C34D32">
        <w:rPr>
          <w:rFonts w:ascii="Verdana" w:hAnsi="Verdana"/>
          <w:b/>
          <w:bCs/>
          <w:lang w:val="en-US"/>
        </w:rPr>
        <w:t>Making the hidden states of a battery visible</w:t>
      </w:r>
    </w:p>
    <w:p w14:paraId="5849FF3E" w14:textId="76532A84" w:rsidR="00C34D32" w:rsidRPr="00D7372F" w:rsidRDefault="00C34D32" w:rsidP="00D7372F">
      <w:pPr>
        <w:spacing w:line="240" w:lineRule="auto"/>
        <w:jc w:val="both"/>
        <w:rPr>
          <w:rFonts w:ascii="Verdana" w:hAnsi="Verdana"/>
          <w:sz w:val="18"/>
          <w:szCs w:val="18"/>
          <w:lang w:val="en-US"/>
        </w:rPr>
      </w:pPr>
      <w:r w:rsidRPr="00D7372F">
        <w:rPr>
          <w:rFonts w:ascii="Verdana" w:hAnsi="Verdana"/>
          <w:sz w:val="18"/>
          <w:szCs w:val="18"/>
          <w:lang w:val="en-US"/>
        </w:rPr>
        <w:t xml:space="preserve">A battery management system (BMS) needs to know what is happening inside a battery to operate it safely, efficiently and reliably. However, some of the most important battery properties—such as the </w:t>
      </w:r>
      <w:r w:rsidRPr="00D7372F">
        <w:rPr>
          <w:rFonts w:ascii="Verdana" w:hAnsi="Verdana"/>
          <w:b/>
          <w:bCs/>
          <w:sz w:val="18"/>
          <w:szCs w:val="18"/>
          <w:lang w:val="en-US"/>
        </w:rPr>
        <w:t>state</w:t>
      </w:r>
      <w:r w:rsidRPr="00D7372F">
        <w:rPr>
          <w:rFonts w:ascii="Verdana" w:hAnsi="Verdana"/>
          <w:b/>
          <w:bCs/>
          <w:sz w:val="18"/>
          <w:szCs w:val="18"/>
          <w:lang w:val="en-US"/>
        </w:rPr>
        <w:t>-</w:t>
      </w:r>
      <w:r w:rsidRPr="00D7372F">
        <w:rPr>
          <w:rFonts w:ascii="Verdana" w:hAnsi="Verdana"/>
          <w:b/>
          <w:bCs/>
          <w:sz w:val="18"/>
          <w:szCs w:val="18"/>
          <w:lang w:val="en-US"/>
        </w:rPr>
        <w:t>of</w:t>
      </w:r>
      <w:r w:rsidRPr="00D7372F">
        <w:rPr>
          <w:rFonts w:ascii="Verdana" w:hAnsi="Verdana"/>
          <w:b/>
          <w:bCs/>
          <w:sz w:val="18"/>
          <w:szCs w:val="18"/>
          <w:lang w:val="en-US"/>
        </w:rPr>
        <w:t>-</w:t>
      </w:r>
      <w:r w:rsidRPr="00D7372F">
        <w:rPr>
          <w:rFonts w:ascii="Verdana" w:hAnsi="Verdana"/>
          <w:b/>
          <w:bCs/>
          <w:sz w:val="18"/>
          <w:szCs w:val="18"/>
          <w:lang w:val="en-US"/>
        </w:rPr>
        <w:t>charge (SOC)</w:t>
      </w:r>
      <w:r w:rsidRPr="00D7372F">
        <w:rPr>
          <w:rFonts w:ascii="Verdana" w:hAnsi="Verdana"/>
          <w:sz w:val="18"/>
          <w:szCs w:val="18"/>
          <w:lang w:val="en-US"/>
        </w:rPr>
        <w:t xml:space="preserve"> and the </w:t>
      </w:r>
      <w:r w:rsidRPr="00D7372F">
        <w:rPr>
          <w:rFonts w:ascii="Verdana" w:hAnsi="Verdana"/>
          <w:b/>
          <w:bCs/>
          <w:sz w:val="18"/>
          <w:szCs w:val="18"/>
          <w:lang w:val="en-US"/>
        </w:rPr>
        <w:t>internal temperature</w:t>
      </w:r>
      <w:r w:rsidRPr="00D7372F">
        <w:rPr>
          <w:rFonts w:ascii="Verdana" w:hAnsi="Verdana"/>
          <w:sz w:val="18"/>
          <w:szCs w:val="18"/>
          <w:lang w:val="en-US"/>
        </w:rPr>
        <w:t>—cannot be measured directly during normal operation.</w:t>
      </w:r>
      <w:r w:rsidR="00916D2A">
        <w:rPr>
          <w:rStyle w:val="FootnoteReference"/>
          <w:rFonts w:ascii="Verdana" w:hAnsi="Verdana"/>
          <w:sz w:val="18"/>
          <w:szCs w:val="18"/>
          <w:lang w:val="en-US"/>
        </w:rPr>
        <w:footnoteReference w:id="1"/>
      </w:r>
    </w:p>
    <w:p w14:paraId="29D1DBAB" w14:textId="265B80F3" w:rsidR="00C34D32" w:rsidRPr="00D7372F" w:rsidRDefault="00C34D32" w:rsidP="00D7372F">
      <w:pPr>
        <w:spacing w:line="240" w:lineRule="auto"/>
        <w:jc w:val="both"/>
        <w:rPr>
          <w:rFonts w:ascii="Verdana" w:hAnsi="Verdana"/>
          <w:sz w:val="18"/>
          <w:szCs w:val="18"/>
          <w:lang w:val="en-US"/>
        </w:rPr>
      </w:pPr>
      <w:r w:rsidRPr="00D7372F">
        <w:rPr>
          <w:rFonts w:ascii="Verdana" w:hAnsi="Verdana"/>
          <w:sz w:val="18"/>
          <w:szCs w:val="18"/>
          <w:lang w:val="en-US"/>
        </w:rPr>
        <w:t xml:space="preserve">Researchers </w:t>
      </w:r>
      <w:r w:rsidRPr="00D7372F">
        <w:rPr>
          <w:rFonts w:ascii="Verdana" w:hAnsi="Verdana"/>
          <w:sz w:val="18"/>
          <w:szCs w:val="18"/>
          <w:lang w:val="en-US"/>
        </w:rPr>
        <w:t xml:space="preserve">within the </w:t>
      </w:r>
      <w:r w:rsidRPr="00D7372F">
        <w:rPr>
          <w:rFonts w:ascii="Verdana" w:hAnsi="Verdana"/>
          <w:i/>
          <w:iCs/>
          <w:sz w:val="18"/>
          <w:szCs w:val="18"/>
          <w:lang w:val="en-US"/>
        </w:rPr>
        <w:t>Current Direct</w:t>
      </w:r>
      <w:r w:rsidRPr="00D7372F">
        <w:rPr>
          <w:rFonts w:ascii="Verdana" w:hAnsi="Verdana"/>
          <w:sz w:val="18"/>
          <w:szCs w:val="18"/>
          <w:lang w:val="en-US"/>
        </w:rPr>
        <w:t xml:space="preserve"> project</w:t>
      </w:r>
      <w:r w:rsidRPr="00D7372F">
        <w:rPr>
          <w:rFonts w:ascii="Verdana" w:hAnsi="Verdana"/>
          <w:sz w:val="18"/>
          <w:szCs w:val="18"/>
          <w:lang w:val="en-US"/>
        </w:rPr>
        <w:t xml:space="preserve"> have developed a new method to estimate these hidden battery states using signals that can be measured easily, such as </w:t>
      </w:r>
      <w:r w:rsidRPr="00D7372F">
        <w:rPr>
          <w:rFonts w:ascii="Verdana" w:hAnsi="Verdana"/>
          <w:b/>
          <w:bCs/>
          <w:sz w:val="18"/>
          <w:szCs w:val="18"/>
          <w:lang w:val="en-US"/>
        </w:rPr>
        <w:t>current, voltage and surface temperature</w:t>
      </w:r>
      <w:r w:rsidRPr="00D7372F">
        <w:rPr>
          <w:rFonts w:ascii="Verdana" w:hAnsi="Verdana"/>
          <w:sz w:val="18"/>
          <w:szCs w:val="18"/>
          <w:lang w:val="en-US"/>
        </w:rPr>
        <w:t>.</w:t>
      </w:r>
    </w:p>
    <w:p w14:paraId="72E50968" w14:textId="664E15D8" w:rsidR="00C34D32" w:rsidRPr="00D7372F" w:rsidRDefault="00C34D32" w:rsidP="00D7372F">
      <w:pPr>
        <w:spacing w:line="240" w:lineRule="auto"/>
        <w:jc w:val="both"/>
        <w:rPr>
          <w:rFonts w:ascii="Verdana" w:hAnsi="Verdana"/>
          <w:sz w:val="18"/>
          <w:szCs w:val="18"/>
          <w:lang w:val="en-US"/>
        </w:rPr>
      </w:pPr>
      <w:r w:rsidRPr="00D7372F">
        <w:rPr>
          <w:rFonts w:ascii="Verdana" w:hAnsi="Verdana"/>
          <w:sz w:val="18"/>
          <w:szCs w:val="18"/>
          <w:lang w:val="en-US"/>
        </w:rPr>
        <w:t xml:space="preserve">The approach combines an electrical model and a thermal model of the battery with an </w:t>
      </w:r>
      <w:r w:rsidRPr="00D7372F">
        <w:rPr>
          <w:rFonts w:ascii="Verdana" w:hAnsi="Verdana"/>
          <w:b/>
          <w:bCs/>
          <w:sz w:val="18"/>
          <w:szCs w:val="18"/>
          <w:lang w:val="en-US"/>
        </w:rPr>
        <w:t>adaptive sliding mode observer</w:t>
      </w:r>
      <w:r w:rsidRPr="00D7372F">
        <w:rPr>
          <w:rFonts w:ascii="Verdana" w:hAnsi="Verdana"/>
          <w:sz w:val="18"/>
          <w:szCs w:val="18"/>
          <w:lang w:val="en-US"/>
        </w:rPr>
        <w:t xml:space="preserve">. The observer continuously compares the measured battery </w:t>
      </w:r>
      <w:r w:rsidRPr="00D7372F">
        <w:rPr>
          <w:rFonts w:ascii="Verdana" w:hAnsi="Verdana"/>
          <w:sz w:val="18"/>
          <w:szCs w:val="18"/>
          <w:lang w:val="en-US"/>
        </w:rPr>
        <w:t>behavior</w:t>
      </w:r>
      <w:r w:rsidRPr="00D7372F">
        <w:rPr>
          <w:rFonts w:ascii="Verdana" w:hAnsi="Verdana"/>
          <w:sz w:val="18"/>
          <w:szCs w:val="18"/>
          <w:lang w:val="en-US"/>
        </w:rPr>
        <w:t xml:space="preserve"> with the model and adjusts its operation according to the estimation error. This adaptive approach helps maintain accurate estimates when the model does not perfectly represent the real battery, for example because of measurement disturbances, parameter uncertainties or battery ageing.</w:t>
      </w:r>
    </w:p>
    <w:p w14:paraId="57A6D643" w14:textId="77777777" w:rsidR="00C34D32" w:rsidRPr="00D7372F" w:rsidRDefault="00C34D32" w:rsidP="00D7372F">
      <w:pPr>
        <w:spacing w:line="240" w:lineRule="auto"/>
        <w:jc w:val="both"/>
        <w:rPr>
          <w:rFonts w:ascii="Verdana" w:hAnsi="Verdana"/>
          <w:sz w:val="18"/>
          <w:szCs w:val="18"/>
          <w:lang w:val="en-US"/>
        </w:rPr>
      </w:pPr>
      <w:r w:rsidRPr="00D7372F">
        <w:rPr>
          <w:rFonts w:ascii="Verdana" w:hAnsi="Verdana"/>
          <w:sz w:val="18"/>
          <w:szCs w:val="18"/>
          <w:lang w:val="en-US"/>
        </w:rPr>
        <w:t xml:space="preserve">The method was experimentally validated using a </w:t>
      </w:r>
      <w:r w:rsidRPr="00D7372F">
        <w:rPr>
          <w:rFonts w:ascii="Verdana" w:hAnsi="Verdana"/>
          <w:b/>
          <w:bCs/>
          <w:sz w:val="18"/>
          <w:szCs w:val="18"/>
          <w:lang w:val="en-US"/>
        </w:rPr>
        <w:t>commercial 64 Ah lithium-ion pouch cell</w:t>
      </w:r>
      <w:r w:rsidRPr="00D7372F">
        <w:rPr>
          <w:rFonts w:ascii="Verdana" w:hAnsi="Verdana"/>
          <w:sz w:val="18"/>
          <w:szCs w:val="18"/>
          <w:lang w:val="en-US"/>
        </w:rPr>
        <w:t xml:space="preserve">, including both fresh and aged cells and different operating conditions. The results showed </w:t>
      </w:r>
      <w:r w:rsidRPr="00D7372F">
        <w:rPr>
          <w:rFonts w:ascii="Verdana" w:hAnsi="Verdana"/>
          <w:b/>
          <w:bCs/>
          <w:sz w:val="18"/>
          <w:szCs w:val="18"/>
          <w:lang w:val="en-US"/>
        </w:rPr>
        <w:t>less than 1% SOC estimation error for the fresh cell and less than 3% for the aged cell</w:t>
      </w:r>
      <w:r w:rsidRPr="00D7372F">
        <w:rPr>
          <w:rFonts w:ascii="Verdana" w:hAnsi="Verdana"/>
          <w:sz w:val="18"/>
          <w:szCs w:val="18"/>
          <w:lang w:val="en-US"/>
        </w:rPr>
        <w:t xml:space="preserve"> in the reported experiments. The method also showed good robustness when the initial battery state was deliberately set incorrectly.</w:t>
      </w:r>
    </w:p>
    <w:p w14:paraId="3676AF5E" w14:textId="77777777" w:rsidR="00C34D32" w:rsidRPr="00D7372F" w:rsidRDefault="00C34D32" w:rsidP="00D7372F">
      <w:pPr>
        <w:spacing w:line="240" w:lineRule="auto"/>
        <w:jc w:val="both"/>
        <w:rPr>
          <w:rFonts w:ascii="Verdana" w:hAnsi="Verdana"/>
          <w:sz w:val="18"/>
          <w:szCs w:val="18"/>
          <w:lang w:val="en-US"/>
        </w:rPr>
      </w:pPr>
      <w:r w:rsidRPr="00D7372F">
        <w:rPr>
          <w:rFonts w:ascii="Verdana" w:hAnsi="Verdana"/>
          <w:sz w:val="18"/>
          <w:szCs w:val="18"/>
          <w:lang w:val="en-US"/>
        </w:rPr>
        <w:t xml:space="preserve">By turning easily measured battery signals into continuous information about what is happening inside the cell, this work provides an important building block for </w:t>
      </w:r>
      <w:r w:rsidRPr="00D7372F">
        <w:rPr>
          <w:rFonts w:ascii="Verdana" w:hAnsi="Verdana"/>
          <w:b/>
          <w:bCs/>
          <w:sz w:val="18"/>
          <w:szCs w:val="18"/>
          <w:lang w:val="en-US"/>
        </w:rPr>
        <w:t>more accurate and reliable battery management systems</w:t>
      </w:r>
      <w:r w:rsidRPr="00D7372F">
        <w:rPr>
          <w:rFonts w:ascii="Verdana" w:hAnsi="Verdana"/>
          <w:sz w:val="18"/>
          <w:szCs w:val="18"/>
          <w:lang w:val="en-US"/>
        </w:rPr>
        <w:t xml:space="preserve">. Better knowledge of the battery’s internal state can ultimately support safer operation, improved performance and smarter use of batteries in applications such as those being developed within </w:t>
      </w:r>
      <w:r w:rsidRPr="00D7372F">
        <w:rPr>
          <w:rFonts w:ascii="Verdana" w:hAnsi="Verdana"/>
          <w:b/>
          <w:bCs/>
          <w:sz w:val="18"/>
          <w:szCs w:val="18"/>
          <w:lang w:val="en-US"/>
        </w:rPr>
        <w:t>Current Direct</w:t>
      </w:r>
      <w:r w:rsidRPr="00D7372F">
        <w:rPr>
          <w:rFonts w:ascii="Verdana" w:hAnsi="Verdana"/>
          <w:sz w:val="18"/>
          <w:szCs w:val="18"/>
          <w:lang w:val="en-US"/>
        </w:rPr>
        <w:t>.</w:t>
      </w:r>
    </w:p>
    <w:p w14:paraId="6AE8817C" w14:textId="77777777" w:rsidR="00C34D32" w:rsidRPr="00C34D32" w:rsidRDefault="00C34D32" w:rsidP="00C34D32">
      <w:pPr>
        <w:jc w:val="both"/>
        <w:rPr>
          <w:rFonts w:ascii="Verdana" w:hAnsi="Verdana"/>
          <w:lang w:val="en-US"/>
        </w:rPr>
      </w:pPr>
    </w:p>
    <w:p w14:paraId="17E68DD9" w14:textId="7AB7672B" w:rsidR="006D58E0" w:rsidRPr="00C34D32" w:rsidRDefault="00C34D32">
      <w:pPr>
        <w:rPr>
          <w:lang w:val="en-US"/>
        </w:rPr>
      </w:pPr>
      <w:r>
        <w:rPr>
          <w:noProof/>
          <w:lang w:val="en-US"/>
        </w:rPr>
        <w:drawing>
          <wp:inline distT="0" distB="0" distL="0" distR="0" wp14:anchorId="68FDDA20" wp14:editId="039C865D">
            <wp:extent cx="6479205" cy="4284000"/>
            <wp:effectExtent l="0" t="0" r="0" b="2540"/>
            <wp:docPr id="6154036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403623" name="Picture 615403623"/>
                    <pic:cNvPicPr/>
                  </pic:nvPicPr>
                  <pic:blipFill rotWithShape="1">
                    <a:blip r:embed="rId8" cstate="print">
                      <a:extLst>
                        <a:ext uri="{28A0092B-C50C-407E-A947-70E740481C1C}">
                          <a14:useLocalDpi xmlns:a14="http://schemas.microsoft.com/office/drawing/2010/main" val="0"/>
                        </a:ext>
                      </a:extLst>
                    </a:blip>
                    <a:srcRect l="1332" r="1213" b="3346"/>
                    <a:stretch>
                      <a:fillRect/>
                    </a:stretch>
                  </pic:blipFill>
                  <pic:spPr bwMode="auto">
                    <a:xfrm>
                      <a:off x="0" y="0"/>
                      <a:ext cx="6479205" cy="4284000"/>
                    </a:xfrm>
                    <a:prstGeom prst="rect">
                      <a:avLst/>
                    </a:prstGeom>
                    <a:ln>
                      <a:noFill/>
                    </a:ln>
                    <a:extLst>
                      <a:ext uri="{53640926-AAD7-44D8-BBD7-CCE9431645EC}">
                        <a14:shadowObscured xmlns:a14="http://schemas.microsoft.com/office/drawing/2010/main"/>
                      </a:ext>
                    </a:extLst>
                  </pic:spPr>
                </pic:pic>
              </a:graphicData>
            </a:graphic>
          </wp:inline>
        </w:drawing>
      </w:r>
    </w:p>
    <w:sectPr w:rsidR="006D58E0" w:rsidRPr="00C34D32" w:rsidSect="00BB6553">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0D1B09" w14:textId="77777777" w:rsidR="00C13F2A" w:rsidRDefault="00C13F2A" w:rsidP="00916D2A">
      <w:pPr>
        <w:spacing w:after="0" w:line="240" w:lineRule="auto"/>
      </w:pPr>
      <w:r>
        <w:separator/>
      </w:r>
    </w:p>
  </w:endnote>
  <w:endnote w:type="continuationSeparator" w:id="0">
    <w:p w14:paraId="1465CB69" w14:textId="77777777" w:rsidR="00C13F2A" w:rsidRDefault="00C13F2A" w:rsidP="00916D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F41CD0" w14:textId="77777777" w:rsidR="00C13F2A" w:rsidRDefault="00C13F2A" w:rsidP="00916D2A">
      <w:pPr>
        <w:spacing w:after="0" w:line="240" w:lineRule="auto"/>
      </w:pPr>
      <w:r>
        <w:separator/>
      </w:r>
    </w:p>
  </w:footnote>
  <w:footnote w:type="continuationSeparator" w:id="0">
    <w:p w14:paraId="2BE32618" w14:textId="77777777" w:rsidR="00C13F2A" w:rsidRDefault="00C13F2A" w:rsidP="00916D2A">
      <w:pPr>
        <w:spacing w:after="0" w:line="240" w:lineRule="auto"/>
      </w:pPr>
      <w:r>
        <w:continuationSeparator/>
      </w:r>
    </w:p>
  </w:footnote>
  <w:footnote w:id="1">
    <w:p w14:paraId="756327B6" w14:textId="1D2DC937" w:rsidR="00916D2A" w:rsidRDefault="00916D2A" w:rsidP="00916D2A">
      <w:pPr>
        <w:pStyle w:val="FootnoteText"/>
        <w:numPr>
          <w:ilvl w:val="0"/>
          <w:numId w:val="1"/>
        </w:numPr>
      </w:pPr>
      <w:r w:rsidRPr="00916D2A">
        <w:t>https://doi.org/10.5281/zenodo.20158089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7C01C7"/>
    <w:multiLevelType w:val="hybridMultilevel"/>
    <w:tmpl w:val="C91EFE7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4572127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4D32"/>
    <w:rsid w:val="00076D0A"/>
    <w:rsid w:val="00120D55"/>
    <w:rsid w:val="003673FF"/>
    <w:rsid w:val="005A05BE"/>
    <w:rsid w:val="006D58E0"/>
    <w:rsid w:val="00764FBC"/>
    <w:rsid w:val="008A3B6E"/>
    <w:rsid w:val="00916D2A"/>
    <w:rsid w:val="0097399D"/>
    <w:rsid w:val="00BB6553"/>
    <w:rsid w:val="00C13F2A"/>
    <w:rsid w:val="00C34D32"/>
    <w:rsid w:val="00CB50FE"/>
    <w:rsid w:val="00D7372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8D8B9"/>
  <w15:chartTrackingRefBased/>
  <w15:docId w15:val="{7DCE48F0-0B28-4BC4-B64F-C3ED96646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34D3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34D3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34D3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34D3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34D3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34D3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4D3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4D3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4D3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4D3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34D3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34D3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34D3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34D3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34D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4D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4D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4D32"/>
    <w:rPr>
      <w:rFonts w:eastAsiaTheme="majorEastAsia" w:cstheme="majorBidi"/>
      <w:color w:val="272727" w:themeColor="text1" w:themeTint="D8"/>
    </w:rPr>
  </w:style>
  <w:style w:type="paragraph" w:styleId="Title">
    <w:name w:val="Title"/>
    <w:basedOn w:val="Normal"/>
    <w:next w:val="Normal"/>
    <w:link w:val="TitleChar"/>
    <w:uiPriority w:val="10"/>
    <w:qFormat/>
    <w:rsid w:val="00C34D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4D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4D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4D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4D32"/>
    <w:pPr>
      <w:spacing w:before="160"/>
      <w:jc w:val="center"/>
    </w:pPr>
    <w:rPr>
      <w:i/>
      <w:iCs/>
      <w:color w:val="404040" w:themeColor="text1" w:themeTint="BF"/>
    </w:rPr>
  </w:style>
  <w:style w:type="character" w:customStyle="1" w:styleId="QuoteChar">
    <w:name w:val="Quote Char"/>
    <w:basedOn w:val="DefaultParagraphFont"/>
    <w:link w:val="Quote"/>
    <w:uiPriority w:val="29"/>
    <w:rsid w:val="00C34D32"/>
    <w:rPr>
      <w:i/>
      <w:iCs/>
      <w:color w:val="404040" w:themeColor="text1" w:themeTint="BF"/>
    </w:rPr>
  </w:style>
  <w:style w:type="paragraph" w:styleId="ListParagraph">
    <w:name w:val="List Paragraph"/>
    <w:basedOn w:val="Normal"/>
    <w:uiPriority w:val="34"/>
    <w:qFormat/>
    <w:rsid w:val="00C34D32"/>
    <w:pPr>
      <w:ind w:left="720"/>
      <w:contextualSpacing/>
    </w:pPr>
  </w:style>
  <w:style w:type="character" w:styleId="IntenseEmphasis">
    <w:name w:val="Intense Emphasis"/>
    <w:basedOn w:val="DefaultParagraphFont"/>
    <w:uiPriority w:val="21"/>
    <w:qFormat/>
    <w:rsid w:val="00C34D32"/>
    <w:rPr>
      <w:i/>
      <w:iCs/>
      <w:color w:val="2F5496" w:themeColor="accent1" w:themeShade="BF"/>
    </w:rPr>
  </w:style>
  <w:style w:type="paragraph" w:styleId="IntenseQuote">
    <w:name w:val="Intense Quote"/>
    <w:basedOn w:val="Normal"/>
    <w:next w:val="Normal"/>
    <w:link w:val="IntenseQuoteChar"/>
    <w:uiPriority w:val="30"/>
    <w:qFormat/>
    <w:rsid w:val="00C34D3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34D32"/>
    <w:rPr>
      <w:i/>
      <w:iCs/>
      <w:color w:val="2F5496" w:themeColor="accent1" w:themeShade="BF"/>
    </w:rPr>
  </w:style>
  <w:style w:type="character" w:styleId="IntenseReference">
    <w:name w:val="Intense Reference"/>
    <w:basedOn w:val="DefaultParagraphFont"/>
    <w:uiPriority w:val="32"/>
    <w:qFormat/>
    <w:rsid w:val="00C34D32"/>
    <w:rPr>
      <w:b/>
      <w:bCs/>
      <w:smallCaps/>
      <w:color w:val="2F5496" w:themeColor="accent1" w:themeShade="BF"/>
      <w:spacing w:val="5"/>
    </w:rPr>
  </w:style>
  <w:style w:type="paragraph" w:styleId="FootnoteText">
    <w:name w:val="footnote text"/>
    <w:basedOn w:val="Normal"/>
    <w:link w:val="FootnoteTextChar"/>
    <w:uiPriority w:val="99"/>
    <w:semiHidden/>
    <w:unhideWhenUsed/>
    <w:rsid w:val="00916D2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16D2A"/>
    <w:rPr>
      <w:sz w:val="20"/>
      <w:szCs w:val="20"/>
    </w:rPr>
  </w:style>
  <w:style w:type="character" w:styleId="FootnoteReference">
    <w:name w:val="footnote reference"/>
    <w:basedOn w:val="DefaultParagraphFont"/>
    <w:uiPriority w:val="99"/>
    <w:semiHidden/>
    <w:unhideWhenUsed/>
    <w:rsid w:val="00916D2A"/>
    <w:rPr>
      <w:vertAlign w:val="superscript"/>
    </w:rPr>
  </w:style>
  <w:style w:type="character" w:styleId="Hyperlink">
    <w:name w:val="Hyperlink"/>
    <w:basedOn w:val="DefaultParagraphFont"/>
    <w:uiPriority w:val="99"/>
    <w:unhideWhenUsed/>
    <w:rsid w:val="00916D2A"/>
    <w:rPr>
      <w:color w:val="0563C1" w:themeColor="hyperlink"/>
      <w:u w:val="single"/>
    </w:rPr>
  </w:style>
  <w:style w:type="character" w:styleId="UnresolvedMention">
    <w:name w:val="Unresolved Mention"/>
    <w:basedOn w:val="DefaultParagraphFont"/>
    <w:uiPriority w:val="99"/>
    <w:semiHidden/>
    <w:unhideWhenUsed/>
    <w:rsid w:val="00916D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505C19-DD94-4F7B-B8EC-6703E4A8BC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285</Words>
  <Characters>1570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UHasselt</Company>
  <LinksUpToDate>false</LinksUpToDate>
  <CharactersWithSpaces>1852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SAFARI Momo</dc:creator>
  <cp:keywords/>
  <dc:description/>
  <cp:lastModifiedBy>SAFARI Momo</cp:lastModifiedBy>
  <cp:revision>6</cp:revision>
  <dcterms:created xsi:type="dcterms:W3CDTF">2026-09-08T15:16:00Z</dcterms:created>
  <dcterms:modified xsi:type="dcterms:W3CDTF">2026-09-08T15:32:00Z</dcterms:modified>
</cp:coreProperties>
</file>